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5C0" w:rsidRPr="004A6E52" w:rsidRDefault="007105C0" w:rsidP="007105C0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>Deuxième année</w:t>
      </w:r>
    </w:p>
    <w:p w:rsidR="00D37DB2" w:rsidRPr="00D37DB2" w:rsidRDefault="00D37DB2" w:rsidP="00D37DB2">
      <w:pPr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Psychiatrie infantile et physiopathologie</w:t>
      </w:r>
      <w:r w:rsidRPr="00D37DB2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</w:t>
      </w:r>
    </w:p>
    <w:p w:rsidR="00D37DB2" w:rsidRPr="00D37DB2" w:rsidRDefault="00D37DB2" w:rsidP="00D37DB2">
      <w:pPr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b/>
          <w:bCs/>
          <w:sz w:val="28"/>
          <w:szCs w:val="28"/>
          <w:lang w:val="fr-CA"/>
        </w:rPr>
        <w:t>I-Psychiatrie infantile :</w:t>
      </w:r>
    </w:p>
    <w:p w:rsidR="00D37DB2" w:rsidRPr="00D37DB2" w:rsidRDefault="00D37DB2" w:rsidP="00D37DB2">
      <w:pPr>
        <w:numPr>
          <w:ilvl w:val="0"/>
          <w:numId w:val="36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b/>
          <w:bCs/>
          <w:sz w:val="28"/>
          <w:szCs w:val="28"/>
          <w:lang w:val="fr-CA"/>
        </w:rPr>
        <w:t>Psychopathologie : Presentation en resume des differentes pathologies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 xml:space="preserve">Conduites d’endormissement et du sommeil (sommeil, insomnies, hypersomnies, énurésie, somnambulisme) 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>Conduites oro-alimentaires (troubles du comportement alimentaire : anorexie, boulimie)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>Conduites motrices (troubles de latéralisation, dyspraxies, instabilité, tics)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>Troubles sphinctériens (énurésie, encoprésie, constipation fonctionnelle)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>Conduites sexuelles (troubles de l’identité sexuelle)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 xml:space="preserve">Déficience sensorielle (cécité, surdité) encéphalopathies – 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>Troubles psychosomatiques (digestifs, respiratoires, cutanés, autres…)</w:t>
      </w:r>
    </w:p>
    <w:p w:rsidR="00D37DB2" w:rsidRPr="00D37DB2" w:rsidRDefault="00D37DB2" w:rsidP="00D37DB2">
      <w:pPr>
        <w:ind w:left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</w:p>
    <w:p w:rsidR="00D37DB2" w:rsidRPr="00CE6BCC" w:rsidRDefault="00D37DB2" w:rsidP="00D37DB2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6BCC">
        <w:rPr>
          <w:rFonts w:ascii="Times New Roman" w:hAnsi="Times New Roman" w:cs="Times New Roman"/>
          <w:b/>
          <w:bCs/>
          <w:sz w:val="28"/>
          <w:szCs w:val="28"/>
        </w:rPr>
        <w:t>Psychoses infantiles :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Principales conduites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Psychoses précoces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Psychoses de la seconde enfance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Facteurs étiologiques</w:t>
      </w:r>
      <w:r w:rsidRPr="00CE6BC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D37DB2" w:rsidRPr="00D37DB2" w:rsidRDefault="00D37DB2" w:rsidP="00D37DB2">
      <w:pPr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b/>
          <w:bCs/>
          <w:sz w:val="28"/>
          <w:szCs w:val="28"/>
          <w:lang w:val="fr-CA"/>
        </w:rPr>
        <w:t>II-Physiopathologie : Presentation rapide des differentes pathologies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Architecture cérébrale :</w:t>
      </w:r>
    </w:p>
    <w:p w:rsidR="00D37DB2" w:rsidRPr="00CE6BCC" w:rsidRDefault="00D37DB2" w:rsidP="00D37DB2">
      <w:pPr>
        <w:numPr>
          <w:ilvl w:val="2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Tissu nerveux</w:t>
      </w:r>
    </w:p>
    <w:p w:rsidR="00D37DB2" w:rsidRPr="00CE6BCC" w:rsidRDefault="00D37DB2" w:rsidP="00D37DB2">
      <w:pPr>
        <w:numPr>
          <w:ilvl w:val="2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Couches histologiques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Thalamus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Hypothalamus, hypophyse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Cervelet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Vision, audition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Tonus musculaire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Equilibration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>Méningites, encéphalites de l’enfant et leurs séquelles</w:t>
      </w:r>
    </w:p>
    <w:p w:rsidR="00D37DB2" w:rsidRPr="00D37DB2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D37DB2">
        <w:rPr>
          <w:rFonts w:ascii="Times New Roman" w:hAnsi="Times New Roman" w:cs="Times New Roman"/>
          <w:sz w:val="28"/>
          <w:szCs w:val="28"/>
          <w:lang w:val="fr-CA"/>
        </w:rPr>
        <w:t>Tumeurs cérébrales et abcès du cerveau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Phacomatoses</w:t>
      </w:r>
    </w:p>
    <w:p w:rsidR="00D37DB2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E6BCC">
        <w:rPr>
          <w:rFonts w:ascii="Times New Roman" w:hAnsi="Times New Roman" w:cs="Times New Roman"/>
          <w:sz w:val="28"/>
          <w:szCs w:val="28"/>
        </w:rPr>
        <w:t>Leucémies</w:t>
      </w:r>
    </w:p>
    <w:p w:rsidR="00D37DB2" w:rsidRPr="00CE6BCC" w:rsidRDefault="00D37DB2" w:rsidP="00D37DB2">
      <w:pPr>
        <w:numPr>
          <w:ilvl w:val="1"/>
          <w:numId w:val="5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917FD7">
        <w:rPr>
          <w:rFonts w:ascii="Times New Roman" w:hAnsi="Times New Roman" w:cs="Times New Roman"/>
          <w:sz w:val="28"/>
          <w:szCs w:val="28"/>
        </w:rPr>
        <w:t xml:space="preserve"> -</w:t>
      </w:r>
      <w:r w:rsidRPr="00CE6BCC">
        <w:rPr>
          <w:rFonts w:ascii="Times New Roman" w:hAnsi="Times New Roman" w:cs="Times New Roman"/>
          <w:sz w:val="28"/>
          <w:szCs w:val="28"/>
        </w:rPr>
        <w:t>Epilepsie et spasme en flexion</w:t>
      </w:r>
    </w:p>
    <w:p w:rsidR="009F1D4A" w:rsidRPr="004A6E52" w:rsidRDefault="009F1D4A" w:rsidP="00D37DB2">
      <w:pPr>
        <w:jc w:val="center"/>
        <w:rPr>
          <w:lang w:val="fr-FR" w:bidi="ar-LB"/>
        </w:rPr>
      </w:pPr>
      <w:bookmarkStart w:id="0" w:name="_GoBack"/>
      <w:bookmarkEnd w:id="0"/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389" w:rsidRDefault="00BF3389" w:rsidP="00147F0E">
      <w:pPr>
        <w:spacing w:after="0" w:line="240" w:lineRule="auto"/>
      </w:pPr>
      <w:r>
        <w:separator/>
      </w:r>
    </w:p>
  </w:endnote>
  <w:endnote w:type="continuationSeparator" w:id="0">
    <w:p w:rsidR="00BF3389" w:rsidRDefault="00BF3389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B745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D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389" w:rsidRDefault="00BF3389" w:rsidP="00147F0E">
      <w:pPr>
        <w:spacing w:after="0" w:line="240" w:lineRule="auto"/>
      </w:pPr>
      <w:r>
        <w:separator/>
      </w:r>
    </w:p>
  </w:footnote>
  <w:footnote w:type="continuationSeparator" w:id="0">
    <w:p w:rsidR="00BF3389" w:rsidRDefault="00BF3389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74518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389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37DB2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05FFE"/>
  <w15:docId w15:val="{6B191C4B-B4F2-429F-A2D8-64071415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4A8F9-1BB6-41DF-9AE7-7BF15A79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2020-09-28T08:53:00Z</dcterms:modified>
</cp:coreProperties>
</file>